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32D9" w:rsidRDefault="00CB32D9" w:rsidP="00A759BB">
      <w:pPr>
        <w:spacing w:after="0" w:line="480" w:lineRule="auto"/>
        <w:contextualSpacing/>
        <w:rPr>
          <w:rFonts w:ascii="Times New Roman" w:hAnsi="Times New Roman" w:cs="Times New Roman"/>
          <w:sz w:val="24"/>
          <w:szCs w:val="24"/>
        </w:rPr>
      </w:pPr>
    </w:p>
    <w:p w:rsidR="00CB32D9" w:rsidRDefault="00CB32D9" w:rsidP="00A759BB">
      <w:pPr>
        <w:spacing w:after="0" w:line="480" w:lineRule="auto"/>
        <w:contextualSpacing/>
        <w:rPr>
          <w:rFonts w:ascii="Times New Roman" w:hAnsi="Times New Roman" w:cs="Times New Roman"/>
          <w:sz w:val="24"/>
          <w:szCs w:val="24"/>
        </w:rPr>
      </w:pPr>
    </w:p>
    <w:p w:rsidR="00CB32D9" w:rsidRDefault="00CB32D9" w:rsidP="00A759BB">
      <w:pPr>
        <w:spacing w:after="0" w:line="480" w:lineRule="auto"/>
        <w:contextualSpacing/>
        <w:rPr>
          <w:rFonts w:ascii="Times New Roman" w:hAnsi="Times New Roman" w:cs="Times New Roman"/>
          <w:sz w:val="24"/>
          <w:szCs w:val="24"/>
        </w:rPr>
      </w:pPr>
    </w:p>
    <w:p w:rsidR="00CB32D9" w:rsidRDefault="00CB32D9" w:rsidP="00A759BB">
      <w:pPr>
        <w:spacing w:after="0" w:line="480" w:lineRule="auto"/>
        <w:contextualSpacing/>
        <w:rPr>
          <w:rFonts w:ascii="Times New Roman" w:hAnsi="Times New Roman" w:cs="Times New Roman"/>
          <w:sz w:val="24"/>
          <w:szCs w:val="24"/>
        </w:rPr>
      </w:pPr>
    </w:p>
    <w:p w:rsidR="00CB32D9" w:rsidRDefault="00CB32D9" w:rsidP="00A759BB">
      <w:pPr>
        <w:spacing w:after="0" w:line="480" w:lineRule="auto"/>
        <w:contextualSpacing/>
        <w:rPr>
          <w:rFonts w:ascii="Times New Roman" w:hAnsi="Times New Roman" w:cs="Times New Roman"/>
          <w:sz w:val="24"/>
          <w:szCs w:val="24"/>
        </w:rPr>
      </w:pPr>
    </w:p>
    <w:p w:rsidR="00CB32D9" w:rsidRDefault="00CB32D9" w:rsidP="00A759BB">
      <w:pPr>
        <w:spacing w:after="0" w:line="480" w:lineRule="auto"/>
        <w:contextualSpacing/>
        <w:rPr>
          <w:rFonts w:ascii="Times New Roman" w:hAnsi="Times New Roman" w:cs="Times New Roman"/>
          <w:sz w:val="24"/>
          <w:szCs w:val="24"/>
        </w:rPr>
      </w:pPr>
    </w:p>
    <w:p w:rsidR="00CB32D9" w:rsidRDefault="00CB32D9" w:rsidP="00A759BB">
      <w:pPr>
        <w:spacing w:after="0" w:line="480" w:lineRule="auto"/>
        <w:contextualSpacing/>
        <w:rPr>
          <w:rFonts w:ascii="Times New Roman" w:hAnsi="Times New Roman" w:cs="Times New Roman"/>
          <w:sz w:val="24"/>
          <w:szCs w:val="24"/>
        </w:rPr>
      </w:pPr>
    </w:p>
    <w:p w:rsidR="00CB32D9" w:rsidRDefault="00CB32D9" w:rsidP="00A759BB">
      <w:pPr>
        <w:spacing w:after="0" w:line="480" w:lineRule="auto"/>
        <w:contextualSpacing/>
        <w:rPr>
          <w:rFonts w:ascii="Times New Roman" w:hAnsi="Times New Roman" w:cs="Times New Roman"/>
          <w:sz w:val="24"/>
          <w:szCs w:val="24"/>
        </w:rPr>
      </w:pPr>
    </w:p>
    <w:p w:rsidR="00CB32D9" w:rsidRDefault="00CB32D9" w:rsidP="00A759BB">
      <w:pPr>
        <w:spacing w:after="0" w:line="480" w:lineRule="auto"/>
        <w:contextualSpacing/>
        <w:rPr>
          <w:rFonts w:ascii="Times New Roman" w:hAnsi="Times New Roman" w:cs="Times New Roman"/>
          <w:sz w:val="24"/>
          <w:szCs w:val="24"/>
        </w:rPr>
      </w:pPr>
    </w:p>
    <w:p w:rsidR="00CB32D9" w:rsidRDefault="00CB32D9" w:rsidP="00A759BB">
      <w:pPr>
        <w:spacing w:after="0" w:line="480" w:lineRule="auto"/>
        <w:contextualSpacing/>
        <w:rPr>
          <w:rFonts w:ascii="Times New Roman" w:hAnsi="Times New Roman" w:cs="Times New Roman"/>
          <w:sz w:val="24"/>
          <w:szCs w:val="24"/>
        </w:rPr>
      </w:pPr>
    </w:p>
    <w:p w:rsidR="00CB32D9" w:rsidRDefault="00CB32D9" w:rsidP="00A759BB">
      <w:pPr>
        <w:spacing w:after="0" w:line="480" w:lineRule="auto"/>
        <w:contextualSpacing/>
        <w:rPr>
          <w:rFonts w:ascii="Times New Roman" w:hAnsi="Times New Roman" w:cs="Times New Roman"/>
          <w:sz w:val="24"/>
          <w:szCs w:val="24"/>
        </w:rPr>
      </w:pPr>
    </w:p>
    <w:p w:rsidR="00CB32D9" w:rsidRDefault="00CB32D9" w:rsidP="00A759BB">
      <w:pPr>
        <w:spacing w:after="0" w:line="480" w:lineRule="auto"/>
        <w:contextualSpacing/>
        <w:rPr>
          <w:rFonts w:ascii="Times New Roman" w:hAnsi="Times New Roman" w:cs="Times New Roman"/>
          <w:sz w:val="24"/>
          <w:szCs w:val="24"/>
        </w:rPr>
      </w:pPr>
    </w:p>
    <w:p w:rsidR="00CB32D9" w:rsidRDefault="00CB32D9" w:rsidP="00A759B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Business Laws</w:t>
      </w:r>
    </w:p>
    <w:p w:rsidR="00CB32D9" w:rsidRDefault="00CB32D9" w:rsidP="00A759B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 of Student</w:t>
      </w:r>
    </w:p>
    <w:p w:rsidR="00CB32D9" w:rsidRDefault="00CB32D9" w:rsidP="00A759B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CB32D9" w:rsidRDefault="00CB32D9" w:rsidP="00A759BB">
      <w:pPr>
        <w:spacing w:after="0" w:line="480" w:lineRule="auto"/>
        <w:contextualSpacing/>
        <w:rPr>
          <w:rFonts w:ascii="Times New Roman" w:hAnsi="Times New Roman" w:cs="Times New Roman"/>
          <w:sz w:val="24"/>
          <w:szCs w:val="24"/>
        </w:rPr>
      </w:pPr>
    </w:p>
    <w:p w:rsidR="00CB32D9" w:rsidRDefault="00CB32D9" w:rsidP="00A759BB">
      <w:pPr>
        <w:spacing w:after="0" w:line="480" w:lineRule="auto"/>
        <w:contextualSpacing/>
        <w:rPr>
          <w:rFonts w:ascii="Times New Roman" w:hAnsi="Times New Roman" w:cs="Times New Roman"/>
          <w:sz w:val="24"/>
          <w:szCs w:val="24"/>
        </w:rPr>
      </w:pPr>
    </w:p>
    <w:p w:rsidR="00CB32D9" w:rsidRDefault="00CB32D9" w:rsidP="00A759BB">
      <w:pPr>
        <w:spacing w:after="0" w:line="480" w:lineRule="auto"/>
        <w:contextualSpacing/>
        <w:rPr>
          <w:rFonts w:ascii="Times New Roman" w:hAnsi="Times New Roman" w:cs="Times New Roman"/>
          <w:sz w:val="24"/>
          <w:szCs w:val="24"/>
        </w:rPr>
      </w:pPr>
    </w:p>
    <w:p w:rsidR="00A759BB" w:rsidRDefault="00A759BB">
      <w:pPr>
        <w:rPr>
          <w:rFonts w:ascii="Arial" w:eastAsia="Times New Roman" w:hAnsi="Arial" w:cs="Arial"/>
          <w:b/>
          <w:bCs/>
          <w:color w:val="494C4E"/>
          <w:spacing w:val="8"/>
          <w:sz w:val="24"/>
          <w:szCs w:val="24"/>
          <w:bdr w:val="none" w:sz="0" w:space="0" w:color="auto" w:frame="1"/>
        </w:rPr>
      </w:pPr>
      <w:r>
        <w:rPr>
          <w:rFonts w:ascii="Arial" w:eastAsia="Times New Roman" w:hAnsi="Arial" w:cs="Arial"/>
          <w:b/>
          <w:bCs/>
          <w:color w:val="494C4E"/>
          <w:spacing w:val="8"/>
          <w:sz w:val="24"/>
          <w:szCs w:val="24"/>
          <w:bdr w:val="none" w:sz="0" w:space="0" w:color="auto" w:frame="1"/>
        </w:rPr>
        <w:br w:type="page"/>
      </w:r>
    </w:p>
    <w:p w:rsidR="00A759BB" w:rsidRDefault="00A759BB" w:rsidP="00A759BB">
      <w:pPr>
        <w:shd w:val="clear" w:color="auto" w:fill="FFFFFF"/>
        <w:spacing w:after="0" w:line="480" w:lineRule="auto"/>
        <w:contextualSpacing/>
        <w:rPr>
          <w:rFonts w:ascii="Arial" w:eastAsia="Times New Roman" w:hAnsi="Arial" w:cs="Arial"/>
          <w:color w:val="494C4E"/>
          <w:spacing w:val="8"/>
          <w:sz w:val="24"/>
          <w:szCs w:val="24"/>
        </w:rPr>
      </w:pPr>
      <w:r>
        <w:rPr>
          <w:rFonts w:ascii="Arial" w:eastAsia="Times New Roman" w:hAnsi="Arial" w:cs="Arial"/>
          <w:b/>
          <w:bCs/>
          <w:color w:val="494C4E"/>
          <w:spacing w:val="8"/>
          <w:sz w:val="24"/>
          <w:szCs w:val="24"/>
          <w:bdr w:val="none" w:sz="0" w:space="0" w:color="auto" w:frame="1"/>
        </w:rPr>
        <w:lastRenderedPageBreak/>
        <w:t>Scenario 2 -  </w:t>
      </w:r>
      <w:r>
        <w:rPr>
          <w:rFonts w:ascii="Arial" w:eastAsia="Times New Roman" w:hAnsi="Arial" w:cs="Arial"/>
          <w:color w:val="494C4E"/>
          <w:spacing w:val="8"/>
          <w:sz w:val="24"/>
          <w:szCs w:val="24"/>
        </w:rPr>
        <w:t>  </w:t>
      </w:r>
      <w:r>
        <w:rPr>
          <w:rFonts w:ascii="Arial" w:eastAsia="Times New Roman" w:hAnsi="Arial" w:cs="Arial"/>
          <w:b/>
          <w:bCs/>
          <w:color w:val="494C4E"/>
          <w:spacing w:val="8"/>
          <w:sz w:val="24"/>
          <w:szCs w:val="24"/>
          <w:bdr w:val="none" w:sz="0" w:space="0" w:color="auto" w:frame="1"/>
        </w:rPr>
        <w:t>Statute of Frauds</w:t>
      </w:r>
    </w:p>
    <w:p w:rsidR="00005A37" w:rsidRPr="00005A37" w:rsidRDefault="00005A37" w:rsidP="00A759BB">
      <w:pPr>
        <w:spacing w:after="0" w:line="480" w:lineRule="auto"/>
        <w:ind w:firstLine="720"/>
        <w:contextualSpacing/>
        <w:rPr>
          <w:rFonts w:ascii="Times New Roman" w:hAnsi="Times New Roman" w:cs="Times New Roman"/>
          <w:sz w:val="24"/>
          <w:szCs w:val="24"/>
        </w:rPr>
      </w:pPr>
      <w:r w:rsidRPr="00005A37">
        <w:rPr>
          <w:rFonts w:ascii="Times New Roman" w:hAnsi="Times New Roman" w:cs="Times New Roman"/>
          <w:sz w:val="24"/>
          <w:szCs w:val="24"/>
        </w:rPr>
        <w:t>A statute of fraud is a form of laws and regulations that involves contracts which are in written form. The settlements require written agreements between two or more parties performing a business exchange where one party is paying another a debt for goods sold. With the proof of the agreed and signed contract in written form, then one party can sue the other in case of any default in the exchange</w:t>
      </w:r>
      <w:r w:rsidR="00E0033D">
        <w:t>(</w:t>
      </w:r>
      <w:r w:rsidR="00E0033D" w:rsidRPr="00E0033D">
        <w:rPr>
          <w:rFonts w:ascii="Times New Roman" w:hAnsi="Times New Roman" w:cs="Times New Roman"/>
          <w:sz w:val="24"/>
          <w:szCs w:val="24"/>
        </w:rPr>
        <w:t>Huber,2017)</w:t>
      </w:r>
      <w:r w:rsidRPr="00005A37">
        <w:rPr>
          <w:rFonts w:ascii="Times New Roman" w:hAnsi="Times New Roman" w:cs="Times New Roman"/>
          <w:sz w:val="24"/>
          <w:szCs w:val="24"/>
        </w:rPr>
        <w:t>. The primary purpose of the statute of fraud is to act as proof and defense in case of a breach of the agreement made by the parties involved. For the contract of both parties to be enforced, it must fall under various set categories in the statute of frauds.</w:t>
      </w:r>
    </w:p>
    <w:p w:rsidR="00005A37" w:rsidRPr="00005A37" w:rsidRDefault="00005A37" w:rsidP="00A759BB">
      <w:pPr>
        <w:spacing w:after="0" w:line="480" w:lineRule="auto"/>
        <w:ind w:firstLine="720"/>
        <w:contextualSpacing/>
        <w:rPr>
          <w:rFonts w:ascii="Times New Roman" w:hAnsi="Times New Roman" w:cs="Times New Roman"/>
          <w:sz w:val="24"/>
          <w:szCs w:val="24"/>
        </w:rPr>
      </w:pPr>
      <w:r w:rsidRPr="00005A37">
        <w:rPr>
          <w:rFonts w:ascii="Times New Roman" w:hAnsi="Times New Roman" w:cs="Times New Roman"/>
          <w:sz w:val="24"/>
          <w:szCs w:val="24"/>
        </w:rPr>
        <w:t xml:space="preserve"> In scenario two, the parties have an enforceable contract under the statute of frauds. This case is because there exists a written agreement between Kathy and pierce packaging on the price and terms of the </w:t>
      </w:r>
      <w:r w:rsidR="00A759BB" w:rsidRPr="00005A37">
        <w:rPr>
          <w:rFonts w:ascii="Times New Roman" w:hAnsi="Times New Roman" w:cs="Times New Roman"/>
          <w:sz w:val="24"/>
          <w:szCs w:val="24"/>
        </w:rPr>
        <w:t>purchase</w:t>
      </w:r>
      <w:r w:rsidR="00A759BB">
        <w:t xml:space="preserve"> (</w:t>
      </w:r>
      <w:r w:rsidR="00E0033D" w:rsidRPr="00E0033D">
        <w:rPr>
          <w:rFonts w:ascii="Times New Roman" w:hAnsi="Times New Roman" w:cs="Times New Roman"/>
          <w:sz w:val="24"/>
          <w:szCs w:val="24"/>
        </w:rPr>
        <w:t>Huber, 2017)</w:t>
      </w:r>
      <w:r w:rsidRPr="00005A37">
        <w:rPr>
          <w:rFonts w:ascii="Times New Roman" w:hAnsi="Times New Roman" w:cs="Times New Roman"/>
          <w:sz w:val="24"/>
          <w:szCs w:val="24"/>
        </w:rPr>
        <w:t xml:space="preserve">. The fax sent by the pierce packaging showing the price and the terms of payment to Kathy then Kathy replied by paying the dawn payment is full prove the parties come into an agreement making the contract enforceable to the statute of frauds. The scenario also falls under the category of goods valued $500 and above since the price of the cartons was $35000. </w:t>
      </w:r>
    </w:p>
    <w:p w:rsidR="00A759BB" w:rsidRDefault="00A759BB" w:rsidP="00A759BB">
      <w:pPr>
        <w:shd w:val="clear" w:color="auto" w:fill="FFFFFF"/>
        <w:spacing w:after="0" w:line="480" w:lineRule="auto"/>
        <w:contextualSpacing/>
        <w:rPr>
          <w:rFonts w:ascii="Arial" w:eastAsia="Times New Roman" w:hAnsi="Arial" w:cs="Arial"/>
          <w:color w:val="494C4E"/>
          <w:spacing w:val="8"/>
          <w:sz w:val="24"/>
          <w:szCs w:val="24"/>
        </w:rPr>
      </w:pPr>
      <w:r>
        <w:rPr>
          <w:rFonts w:ascii="Arial" w:eastAsia="Times New Roman" w:hAnsi="Arial" w:cs="Arial"/>
          <w:b/>
          <w:bCs/>
          <w:color w:val="494C4E"/>
          <w:spacing w:val="8"/>
          <w:sz w:val="24"/>
          <w:szCs w:val="24"/>
          <w:bdr w:val="none" w:sz="0" w:space="0" w:color="auto" w:frame="1"/>
        </w:rPr>
        <w:t xml:space="preserve">Scenario 3 </w:t>
      </w:r>
      <w:r>
        <w:rPr>
          <w:rFonts w:ascii="Arial" w:eastAsia="Times New Roman" w:hAnsi="Arial" w:cs="Arial"/>
          <w:b/>
          <w:bCs/>
          <w:color w:val="494C4E"/>
          <w:spacing w:val="8"/>
          <w:sz w:val="24"/>
          <w:szCs w:val="24"/>
          <w:bdr w:val="none" w:sz="0" w:space="0" w:color="auto" w:frame="1"/>
        </w:rPr>
        <w:t>– Breach</w:t>
      </w:r>
      <w:r>
        <w:rPr>
          <w:rFonts w:ascii="Arial" w:eastAsia="Times New Roman" w:hAnsi="Arial" w:cs="Arial"/>
          <w:b/>
          <w:bCs/>
          <w:color w:val="494C4E"/>
          <w:spacing w:val="8"/>
          <w:sz w:val="24"/>
          <w:szCs w:val="24"/>
          <w:bdr w:val="none" w:sz="0" w:space="0" w:color="auto" w:frame="1"/>
        </w:rPr>
        <w:t xml:space="preserve"> and Remedies</w:t>
      </w:r>
    </w:p>
    <w:p w:rsidR="00005A37" w:rsidRPr="00005A37" w:rsidRDefault="00005A37" w:rsidP="00A759BB">
      <w:pPr>
        <w:spacing w:after="0" w:line="480" w:lineRule="auto"/>
        <w:ind w:firstLine="720"/>
        <w:contextualSpacing/>
        <w:rPr>
          <w:rFonts w:ascii="Times New Roman" w:hAnsi="Times New Roman" w:cs="Times New Roman"/>
          <w:sz w:val="24"/>
          <w:szCs w:val="24"/>
        </w:rPr>
      </w:pPr>
      <w:r w:rsidRPr="00005A37">
        <w:rPr>
          <w:rFonts w:ascii="Times New Roman" w:hAnsi="Times New Roman" w:cs="Times New Roman"/>
          <w:sz w:val="24"/>
          <w:szCs w:val="24"/>
        </w:rPr>
        <w:t xml:space="preserve">A breach of contract is a situation that occurs when one of the parties fails to abide by the contractual agreements. A party can fail to abide t the terms and agreements of the contract by either refusing to pay the needed amount in time or by failing to act following the terms agreed in the </w:t>
      </w:r>
      <w:r w:rsidR="00A759BB" w:rsidRPr="00005A37">
        <w:rPr>
          <w:rFonts w:ascii="Times New Roman" w:hAnsi="Times New Roman" w:cs="Times New Roman"/>
          <w:sz w:val="24"/>
          <w:szCs w:val="24"/>
        </w:rPr>
        <w:t>contract</w:t>
      </w:r>
      <w:r w:rsidR="00A759BB" w:rsidRPr="00E0033D">
        <w:rPr>
          <w:rFonts w:ascii="Times New Roman" w:hAnsi="Times New Roman" w:cs="Times New Roman"/>
          <w:sz w:val="24"/>
          <w:szCs w:val="24"/>
        </w:rPr>
        <w:t xml:space="preserve"> (</w:t>
      </w:r>
      <w:r w:rsidR="00E0033D" w:rsidRPr="00E0033D">
        <w:rPr>
          <w:rFonts w:ascii="Times New Roman" w:hAnsi="Times New Roman" w:cs="Times New Roman"/>
          <w:sz w:val="24"/>
          <w:szCs w:val="24"/>
        </w:rPr>
        <w:t>Goldberger, 2018)</w:t>
      </w:r>
      <w:r w:rsidRPr="00005A37">
        <w:rPr>
          <w:rFonts w:ascii="Times New Roman" w:hAnsi="Times New Roman" w:cs="Times New Roman"/>
          <w:sz w:val="24"/>
          <w:szCs w:val="24"/>
        </w:rPr>
        <w:t>. A breach of contract can be easily solved by categorizing the lease as either material or immaterial. A violation of the contract is addressed by the court using the appropriate remedy for a particular breach. Solutions are used to bringing the parties of a contract into an anew peaceful agreement by repaying the affected party.</w:t>
      </w:r>
    </w:p>
    <w:p w:rsidR="00005A37" w:rsidRPr="00005A37" w:rsidRDefault="00005A37" w:rsidP="00A759BB">
      <w:pPr>
        <w:spacing w:after="0" w:line="480" w:lineRule="auto"/>
        <w:ind w:firstLine="720"/>
        <w:contextualSpacing/>
        <w:rPr>
          <w:rFonts w:ascii="Times New Roman" w:hAnsi="Times New Roman" w:cs="Times New Roman"/>
          <w:sz w:val="24"/>
          <w:szCs w:val="24"/>
        </w:rPr>
      </w:pPr>
      <w:r w:rsidRPr="00005A37">
        <w:rPr>
          <w:rFonts w:ascii="Times New Roman" w:hAnsi="Times New Roman" w:cs="Times New Roman"/>
          <w:sz w:val="24"/>
          <w:szCs w:val="24"/>
        </w:rPr>
        <w:t xml:space="preserve">In accordance to scenario three, Dixon did not breach his contract between him and Mendes. This case is because Dixon did not fail to abide by the requirements provided in the agreement, but instead, he decided to cancel the deal and payback the deposits made by </w:t>
      </w:r>
      <w:bookmarkStart w:id="0" w:name="_Hlk19568387"/>
      <w:r w:rsidR="00A759BB" w:rsidRPr="00005A37">
        <w:rPr>
          <w:rFonts w:ascii="Times New Roman" w:hAnsi="Times New Roman" w:cs="Times New Roman"/>
          <w:sz w:val="24"/>
          <w:szCs w:val="24"/>
        </w:rPr>
        <w:t>Mendes</w:t>
      </w:r>
      <w:r w:rsidR="00A759BB">
        <w:t xml:space="preserve"> (</w:t>
      </w:r>
      <w:r w:rsidR="00E0033D" w:rsidRPr="00E0033D">
        <w:rPr>
          <w:rFonts w:ascii="Times New Roman" w:hAnsi="Times New Roman" w:cs="Times New Roman"/>
          <w:sz w:val="24"/>
          <w:szCs w:val="24"/>
        </w:rPr>
        <w:t>Goldberger</w:t>
      </w:r>
      <w:r w:rsidR="00A759BB" w:rsidRPr="00E0033D">
        <w:rPr>
          <w:rFonts w:ascii="Times New Roman" w:hAnsi="Times New Roman" w:cs="Times New Roman"/>
          <w:sz w:val="24"/>
          <w:szCs w:val="24"/>
        </w:rPr>
        <w:t>, 2018</w:t>
      </w:r>
      <w:r w:rsidR="00E0033D" w:rsidRPr="00E0033D">
        <w:rPr>
          <w:rFonts w:ascii="Times New Roman" w:hAnsi="Times New Roman" w:cs="Times New Roman"/>
          <w:sz w:val="24"/>
          <w:szCs w:val="24"/>
        </w:rPr>
        <w:t>)</w:t>
      </w:r>
      <w:bookmarkEnd w:id="0"/>
      <w:r w:rsidRPr="00005A37">
        <w:rPr>
          <w:rFonts w:ascii="Times New Roman" w:hAnsi="Times New Roman" w:cs="Times New Roman"/>
          <w:sz w:val="24"/>
          <w:szCs w:val="24"/>
        </w:rPr>
        <w:t>. The court should rule in favor of Candace Dixon since there was no breach of contract in any way but a full exercise of his options as provided in the contract. A total deposit return should be made to Mendes and cancel the agreement. The court can also decide to rule with no favors to any party by canceling the contract and ensuring that any payments done during the contract should be compensated.</w:t>
      </w:r>
    </w:p>
    <w:p w:rsidR="00005A37" w:rsidRPr="00005A37" w:rsidRDefault="00005A37" w:rsidP="00A759BB">
      <w:pPr>
        <w:spacing w:after="0" w:line="480" w:lineRule="auto"/>
        <w:ind w:firstLine="720"/>
        <w:contextualSpacing/>
        <w:rPr>
          <w:rFonts w:ascii="Times New Roman" w:hAnsi="Times New Roman" w:cs="Times New Roman"/>
          <w:sz w:val="24"/>
          <w:szCs w:val="24"/>
        </w:rPr>
      </w:pPr>
      <w:r w:rsidRPr="00005A37">
        <w:rPr>
          <w:rFonts w:ascii="Times New Roman" w:hAnsi="Times New Roman" w:cs="Times New Roman"/>
          <w:sz w:val="24"/>
          <w:szCs w:val="24"/>
        </w:rPr>
        <w:t xml:space="preserve"> Assuming that Dixon breached the contract in the scenario, then restitution is an appropriate remedy to partake. Restitution is a situation where the court orders the party responsible for the breach of contract to pay back any amount involved in the course of the contract. A loss in the expected earnings are not paid, but compensation for the money the victim party used to pursue the </w:t>
      </w:r>
      <w:r w:rsidR="00A759BB" w:rsidRPr="00005A37">
        <w:rPr>
          <w:rFonts w:ascii="Times New Roman" w:hAnsi="Times New Roman" w:cs="Times New Roman"/>
          <w:sz w:val="24"/>
          <w:szCs w:val="24"/>
        </w:rPr>
        <w:t>deal</w:t>
      </w:r>
      <w:r w:rsidR="00A759BB">
        <w:t xml:space="preserve"> (</w:t>
      </w:r>
      <w:r w:rsidR="00E0033D" w:rsidRPr="00E0033D">
        <w:rPr>
          <w:rFonts w:ascii="Times New Roman" w:hAnsi="Times New Roman" w:cs="Times New Roman"/>
          <w:sz w:val="24"/>
          <w:szCs w:val="24"/>
        </w:rPr>
        <w:t>Goldberger, 2018)</w:t>
      </w:r>
      <w:r w:rsidRPr="00005A37">
        <w:rPr>
          <w:rFonts w:ascii="Times New Roman" w:hAnsi="Times New Roman" w:cs="Times New Roman"/>
          <w:sz w:val="24"/>
          <w:szCs w:val="24"/>
        </w:rPr>
        <w:t>. Dixon will be needed to return the deposit to Mendes in full payment and then cancel the agreement. In restitution, one of the parties which are responsible for the breach is termed as incompetent since he was not able to abide by the terms of the contract. The competent party is then obligated to put the agreement into an end or agree to negotiate on the terms of the contract with the other party.</w:t>
      </w:r>
    </w:p>
    <w:p w:rsidR="00005A37" w:rsidRPr="00005A37" w:rsidRDefault="00005A37" w:rsidP="00A759BB">
      <w:pPr>
        <w:spacing w:after="0" w:line="480" w:lineRule="auto"/>
        <w:contextualSpacing/>
        <w:rPr>
          <w:rFonts w:ascii="Times New Roman" w:hAnsi="Times New Roman" w:cs="Times New Roman"/>
          <w:sz w:val="24"/>
          <w:szCs w:val="24"/>
        </w:rPr>
      </w:pPr>
    </w:p>
    <w:p w:rsidR="00005A37" w:rsidRPr="00005A37" w:rsidRDefault="00005A37" w:rsidP="00A759BB">
      <w:pPr>
        <w:spacing w:after="0" w:line="480" w:lineRule="auto"/>
        <w:contextualSpacing/>
        <w:rPr>
          <w:rFonts w:ascii="Times New Roman" w:hAnsi="Times New Roman" w:cs="Times New Roman"/>
          <w:sz w:val="24"/>
          <w:szCs w:val="24"/>
        </w:rPr>
      </w:pPr>
    </w:p>
    <w:p w:rsidR="00F11186" w:rsidRDefault="00F11186" w:rsidP="00A759BB">
      <w:pPr>
        <w:spacing w:after="0" w:line="480" w:lineRule="auto"/>
        <w:contextualSpacing/>
        <w:jc w:val="center"/>
        <w:rPr>
          <w:rFonts w:ascii="Times New Roman" w:hAnsi="Times New Roman" w:cs="Times New Roman"/>
          <w:sz w:val="24"/>
          <w:szCs w:val="24"/>
        </w:rPr>
      </w:pPr>
    </w:p>
    <w:p w:rsidR="00A759BB" w:rsidRDefault="00A759BB">
      <w:pPr>
        <w:rPr>
          <w:rFonts w:ascii="Times New Roman" w:hAnsi="Times New Roman" w:cs="Times New Roman"/>
          <w:sz w:val="24"/>
          <w:szCs w:val="24"/>
        </w:rPr>
      </w:pPr>
      <w:r>
        <w:rPr>
          <w:rFonts w:ascii="Times New Roman" w:hAnsi="Times New Roman" w:cs="Times New Roman"/>
          <w:sz w:val="24"/>
          <w:szCs w:val="24"/>
        </w:rPr>
        <w:br w:type="page"/>
      </w:r>
    </w:p>
    <w:p w:rsidR="000B5E25" w:rsidRDefault="00005A37" w:rsidP="00A759B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bookmarkStart w:id="1" w:name="_Hlk19567941"/>
    </w:p>
    <w:p w:rsidR="000B5E25" w:rsidRDefault="000B5E25" w:rsidP="00A759BB">
      <w:pPr>
        <w:spacing w:after="0" w:line="480" w:lineRule="auto"/>
        <w:contextualSpacing/>
        <w:rPr>
          <w:rFonts w:ascii="Times New Roman" w:hAnsi="Times New Roman" w:cs="Times New Roman"/>
          <w:sz w:val="24"/>
          <w:szCs w:val="24"/>
        </w:rPr>
      </w:pPr>
      <w:bookmarkStart w:id="2" w:name="_Hlk19568141"/>
      <w:bookmarkEnd w:id="1"/>
      <w:r w:rsidRPr="00EA661C">
        <w:rPr>
          <w:rFonts w:ascii="Times New Roman" w:hAnsi="Times New Roman" w:cs="Times New Roman"/>
          <w:sz w:val="24"/>
          <w:szCs w:val="24"/>
        </w:rPr>
        <w:t>Goldberger, J. (2018)</w:t>
      </w:r>
      <w:bookmarkEnd w:id="2"/>
      <w:r w:rsidRPr="00EA661C">
        <w:rPr>
          <w:rFonts w:ascii="Times New Roman" w:hAnsi="Times New Roman" w:cs="Times New Roman"/>
          <w:sz w:val="24"/>
          <w:szCs w:val="24"/>
        </w:rPr>
        <w:t>. Assessment of damages for bre</w:t>
      </w:r>
      <w:r w:rsidR="00974E4D">
        <w:rPr>
          <w:rFonts w:ascii="Times New Roman" w:hAnsi="Times New Roman" w:cs="Times New Roman"/>
          <w:sz w:val="24"/>
          <w:szCs w:val="24"/>
        </w:rPr>
        <w:t>ach of contract. Commercial Law</w:t>
      </w:r>
      <w:r w:rsidR="00974E4D">
        <w:rPr>
          <w:rFonts w:ascii="Times New Roman" w:hAnsi="Times New Roman" w:cs="Times New Roman"/>
          <w:sz w:val="24"/>
          <w:szCs w:val="24"/>
        </w:rPr>
        <w:tab/>
      </w:r>
      <w:r w:rsidRPr="00EA661C">
        <w:rPr>
          <w:rFonts w:ascii="Times New Roman" w:hAnsi="Times New Roman" w:cs="Times New Roman"/>
          <w:sz w:val="24"/>
          <w:szCs w:val="24"/>
        </w:rPr>
        <w:t>Quarterly: The Journal of the Commercial Law Association of Australia, 32(3), 12.</w:t>
      </w:r>
    </w:p>
    <w:p w:rsidR="00005A37" w:rsidRDefault="00EA661C" w:rsidP="00A759BB">
      <w:pPr>
        <w:spacing w:after="0" w:line="480" w:lineRule="auto"/>
        <w:contextualSpacing/>
        <w:rPr>
          <w:rFonts w:ascii="Times New Roman" w:hAnsi="Times New Roman" w:cs="Times New Roman"/>
          <w:sz w:val="24"/>
          <w:szCs w:val="24"/>
        </w:rPr>
      </w:pPr>
      <w:bookmarkStart w:id="3" w:name="_Hlk19568335"/>
      <w:r w:rsidRPr="00EA661C">
        <w:rPr>
          <w:rFonts w:ascii="Times New Roman" w:hAnsi="Times New Roman" w:cs="Times New Roman"/>
          <w:sz w:val="24"/>
          <w:szCs w:val="24"/>
        </w:rPr>
        <w:t>Huber, W. (2017)</w:t>
      </w:r>
      <w:bookmarkEnd w:id="3"/>
      <w:r w:rsidRPr="00EA661C">
        <w:rPr>
          <w:rFonts w:ascii="Times New Roman" w:hAnsi="Times New Roman" w:cs="Times New Roman"/>
          <w:sz w:val="24"/>
          <w:szCs w:val="24"/>
        </w:rPr>
        <w:t>. Forensic accounting, fraud theory, and the end of</w:t>
      </w:r>
      <w:r w:rsidR="00974E4D">
        <w:rPr>
          <w:rFonts w:ascii="Times New Roman" w:hAnsi="Times New Roman" w:cs="Times New Roman"/>
          <w:sz w:val="24"/>
          <w:szCs w:val="24"/>
        </w:rPr>
        <w:t xml:space="preserve"> the fraud triangle. Journal of</w:t>
      </w:r>
      <w:r w:rsidR="00974E4D">
        <w:rPr>
          <w:rFonts w:ascii="Times New Roman" w:hAnsi="Times New Roman" w:cs="Times New Roman"/>
          <w:sz w:val="24"/>
          <w:szCs w:val="24"/>
        </w:rPr>
        <w:tab/>
      </w:r>
      <w:r w:rsidRPr="00EA661C">
        <w:rPr>
          <w:rFonts w:ascii="Times New Roman" w:hAnsi="Times New Roman" w:cs="Times New Roman"/>
          <w:sz w:val="24"/>
          <w:szCs w:val="24"/>
        </w:rPr>
        <w:t>Theoretical Accounting Research, 12(2).</w:t>
      </w:r>
    </w:p>
    <w:p w:rsidR="000B5E25" w:rsidRDefault="00EA661C" w:rsidP="00A759BB">
      <w:pPr>
        <w:spacing w:after="0" w:line="480" w:lineRule="auto"/>
        <w:contextualSpacing/>
        <w:rPr>
          <w:rFonts w:ascii="Times New Roman" w:hAnsi="Times New Roman" w:cs="Times New Roman"/>
          <w:sz w:val="24"/>
          <w:szCs w:val="24"/>
        </w:rPr>
      </w:pPr>
      <w:r w:rsidRPr="00EA661C">
        <w:rPr>
          <w:rFonts w:ascii="Times New Roman" w:hAnsi="Times New Roman" w:cs="Times New Roman"/>
          <w:sz w:val="24"/>
          <w:szCs w:val="24"/>
        </w:rPr>
        <w:t>Luntz, H., Hambly, D., Burns, K., Dietrich, J., F</w:t>
      </w:r>
      <w:bookmarkStart w:id="4" w:name="_GoBack"/>
      <w:bookmarkEnd w:id="4"/>
      <w:r w:rsidRPr="00EA661C">
        <w:rPr>
          <w:rFonts w:ascii="Times New Roman" w:hAnsi="Times New Roman" w:cs="Times New Roman"/>
          <w:sz w:val="24"/>
          <w:szCs w:val="24"/>
        </w:rPr>
        <w:t>oster, N., Grant, G., &amp;</w:t>
      </w:r>
      <w:bookmarkStart w:id="5" w:name="_Hlk19567879"/>
      <w:r w:rsidRPr="00EA661C">
        <w:rPr>
          <w:rFonts w:ascii="Times New Roman" w:hAnsi="Times New Roman" w:cs="Times New Roman"/>
          <w:sz w:val="24"/>
          <w:szCs w:val="24"/>
        </w:rPr>
        <w:t>Harder, S. (2017)</w:t>
      </w:r>
      <w:bookmarkEnd w:id="5"/>
      <w:r w:rsidR="00974E4D">
        <w:rPr>
          <w:rFonts w:ascii="Times New Roman" w:hAnsi="Times New Roman" w:cs="Times New Roman"/>
          <w:sz w:val="24"/>
          <w:szCs w:val="24"/>
        </w:rPr>
        <w:t>. Torts:</w:t>
      </w:r>
      <w:r w:rsidR="00974E4D">
        <w:rPr>
          <w:rFonts w:ascii="Times New Roman" w:hAnsi="Times New Roman" w:cs="Times New Roman"/>
          <w:sz w:val="24"/>
          <w:szCs w:val="24"/>
        </w:rPr>
        <w:tab/>
      </w:r>
      <w:r w:rsidRPr="00EA661C">
        <w:rPr>
          <w:rFonts w:ascii="Times New Roman" w:hAnsi="Times New Roman" w:cs="Times New Roman"/>
          <w:sz w:val="24"/>
          <w:szCs w:val="24"/>
        </w:rPr>
        <w:t>cases and commentary. LexisNexis Butterworths.</w:t>
      </w:r>
      <w:bookmarkStart w:id="6" w:name="_Hlk19568008"/>
    </w:p>
    <w:bookmarkEnd w:id="6"/>
    <w:p w:rsidR="00EA661C" w:rsidRPr="00605243" w:rsidRDefault="00EA661C" w:rsidP="00A759BB">
      <w:pPr>
        <w:spacing w:after="0" w:line="480" w:lineRule="auto"/>
        <w:contextualSpacing/>
        <w:rPr>
          <w:rFonts w:ascii="Times New Roman" w:hAnsi="Times New Roman" w:cs="Times New Roman"/>
          <w:sz w:val="24"/>
          <w:szCs w:val="24"/>
        </w:rPr>
      </w:pPr>
    </w:p>
    <w:sectPr w:rsidR="00EA661C" w:rsidRPr="00605243" w:rsidSect="00CB32D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4127" w:rsidRDefault="00C24127" w:rsidP="00CB32D9">
      <w:pPr>
        <w:spacing w:after="0" w:line="240" w:lineRule="auto"/>
      </w:pPr>
      <w:r>
        <w:separator/>
      </w:r>
    </w:p>
  </w:endnote>
  <w:endnote w:type="continuationSeparator" w:id="0">
    <w:p w:rsidR="00C24127" w:rsidRDefault="00C24127" w:rsidP="00CB32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4127" w:rsidRDefault="00C24127" w:rsidP="00CB32D9">
      <w:pPr>
        <w:spacing w:after="0" w:line="240" w:lineRule="auto"/>
      </w:pPr>
      <w:r>
        <w:separator/>
      </w:r>
    </w:p>
  </w:footnote>
  <w:footnote w:type="continuationSeparator" w:id="0">
    <w:p w:rsidR="00C24127" w:rsidRDefault="00C24127" w:rsidP="00CB32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32D9" w:rsidRPr="00CB32D9" w:rsidRDefault="00CB32D9" w:rsidP="00CB32D9">
    <w:pPr>
      <w:pStyle w:val="Header"/>
      <w:jc w:val="right"/>
      <w:rPr>
        <w:rFonts w:ascii="Times New Roman" w:hAnsi="Times New Roman" w:cs="Times New Roman"/>
        <w:sz w:val="24"/>
        <w:szCs w:val="24"/>
      </w:rPr>
    </w:pPr>
    <w:r w:rsidRPr="00CB32D9">
      <w:rPr>
        <w:rFonts w:ascii="Times New Roman" w:hAnsi="Times New Roman" w:cs="Times New Roman"/>
        <w:sz w:val="24"/>
        <w:szCs w:val="24"/>
      </w:rPr>
      <w:t>BUSINESS LAWS</w:t>
    </w:r>
    <w:r w:rsidRPr="00CB32D9">
      <w:rPr>
        <w:rFonts w:ascii="Times New Roman" w:hAnsi="Times New Roman" w:cs="Times New Roman"/>
        <w:sz w:val="24"/>
        <w:szCs w:val="24"/>
      </w:rPr>
      <w:tab/>
    </w:r>
    <w:r w:rsidRPr="00CB32D9">
      <w:rPr>
        <w:rFonts w:ascii="Times New Roman" w:hAnsi="Times New Roman" w:cs="Times New Roman"/>
        <w:sz w:val="24"/>
        <w:szCs w:val="24"/>
      </w:rPr>
      <w:tab/>
    </w:r>
    <w:sdt>
      <w:sdtPr>
        <w:rPr>
          <w:rFonts w:ascii="Times New Roman" w:hAnsi="Times New Roman" w:cs="Times New Roman"/>
          <w:sz w:val="24"/>
          <w:szCs w:val="24"/>
        </w:rPr>
        <w:id w:val="327868294"/>
        <w:docPartObj>
          <w:docPartGallery w:val="Page Numbers (Top of Page)"/>
          <w:docPartUnique/>
        </w:docPartObj>
      </w:sdtPr>
      <w:sdtEndPr>
        <w:rPr>
          <w:noProof/>
        </w:rPr>
      </w:sdtEndPr>
      <w:sdtContent>
        <w:r w:rsidR="007D0A1E" w:rsidRPr="00CB32D9">
          <w:rPr>
            <w:rFonts w:ascii="Times New Roman" w:hAnsi="Times New Roman" w:cs="Times New Roman"/>
            <w:sz w:val="24"/>
            <w:szCs w:val="24"/>
          </w:rPr>
          <w:fldChar w:fldCharType="begin"/>
        </w:r>
        <w:r w:rsidRPr="00CB32D9">
          <w:rPr>
            <w:rFonts w:ascii="Times New Roman" w:hAnsi="Times New Roman" w:cs="Times New Roman"/>
            <w:sz w:val="24"/>
            <w:szCs w:val="24"/>
          </w:rPr>
          <w:instrText xml:space="preserve"> PAGE   \* MERGEFORMAT </w:instrText>
        </w:r>
        <w:r w:rsidR="007D0A1E" w:rsidRPr="00CB32D9">
          <w:rPr>
            <w:rFonts w:ascii="Times New Roman" w:hAnsi="Times New Roman" w:cs="Times New Roman"/>
            <w:sz w:val="24"/>
            <w:szCs w:val="24"/>
          </w:rPr>
          <w:fldChar w:fldCharType="separate"/>
        </w:r>
        <w:r w:rsidR="00A759BB">
          <w:rPr>
            <w:rFonts w:ascii="Times New Roman" w:hAnsi="Times New Roman" w:cs="Times New Roman"/>
            <w:noProof/>
            <w:sz w:val="24"/>
            <w:szCs w:val="24"/>
          </w:rPr>
          <w:t>2</w:t>
        </w:r>
        <w:r w:rsidR="007D0A1E" w:rsidRPr="00CB32D9">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32D9" w:rsidRPr="00CB32D9" w:rsidRDefault="00F11186" w:rsidP="00CB32D9">
    <w:pPr>
      <w:pStyle w:val="Header"/>
      <w:jc w:val="right"/>
      <w:rPr>
        <w:rFonts w:ascii="Times New Roman" w:hAnsi="Times New Roman" w:cs="Times New Roman"/>
        <w:sz w:val="24"/>
        <w:szCs w:val="24"/>
      </w:rPr>
    </w:pPr>
    <w:r>
      <w:rPr>
        <w:rFonts w:ascii="Times New Roman" w:hAnsi="Times New Roman" w:cs="Times New Roman"/>
        <w:sz w:val="24"/>
        <w:szCs w:val="24"/>
      </w:rPr>
      <w:t>Running head: BUSINES LAW</w:t>
    </w:r>
    <w:r w:rsidR="00CB32D9" w:rsidRPr="00CB32D9">
      <w:rPr>
        <w:rFonts w:ascii="Times New Roman" w:hAnsi="Times New Roman" w:cs="Times New Roman"/>
        <w:sz w:val="24"/>
        <w:szCs w:val="24"/>
      </w:rPr>
      <w:tab/>
    </w:r>
    <w:r w:rsidR="00CB32D9" w:rsidRPr="00CB32D9">
      <w:rPr>
        <w:rFonts w:ascii="Times New Roman" w:hAnsi="Times New Roman" w:cs="Times New Roman"/>
        <w:sz w:val="24"/>
        <w:szCs w:val="24"/>
      </w:rPr>
      <w:tab/>
    </w:r>
    <w:sdt>
      <w:sdtPr>
        <w:rPr>
          <w:rFonts w:ascii="Times New Roman" w:hAnsi="Times New Roman" w:cs="Times New Roman"/>
          <w:sz w:val="24"/>
          <w:szCs w:val="24"/>
        </w:rPr>
        <w:id w:val="122820402"/>
        <w:docPartObj>
          <w:docPartGallery w:val="Page Numbers (Top of Page)"/>
          <w:docPartUnique/>
        </w:docPartObj>
      </w:sdtPr>
      <w:sdtEndPr>
        <w:rPr>
          <w:noProof/>
        </w:rPr>
      </w:sdtEndPr>
      <w:sdtContent>
        <w:r w:rsidR="007D0A1E" w:rsidRPr="00CB32D9">
          <w:rPr>
            <w:rFonts w:ascii="Times New Roman" w:hAnsi="Times New Roman" w:cs="Times New Roman"/>
            <w:sz w:val="24"/>
            <w:szCs w:val="24"/>
          </w:rPr>
          <w:fldChar w:fldCharType="begin"/>
        </w:r>
        <w:r w:rsidR="00CB32D9" w:rsidRPr="00CB32D9">
          <w:rPr>
            <w:rFonts w:ascii="Times New Roman" w:hAnsi="Times New Roman" w:cs="Times New Roman"/>
            <w:sz w:val="24"/>
            <w:szCs w:val="24"/>
          </w:rPr>
          <w:instrText xml:space="preserve"> PAGE   \* MERGEFORMAT </w:instrText>
        </w:r>
        <w:r w:rsidR="007D0A1E" w:rsidRPr="00CB32D9">
          <w:rPr>
            <w:rFonts w:ascii="Times New Roman" w:hAnsi="Times New Roman" w:cs="Times New Roman"/>
            <w:sz w:val="24"/>
            <w:szCs w:val="24"/>
          </w:rPr>
          <w:fldChar w:fldCharType="separate"/>
        </w:r>
        <w:r w:rsidR="00C24127">
          <w:rPr>
            <w:rFonts w:ascii="Times New Roman" w:hAnsi="Times New Roman" w:cs="Times New Roman"/>
            <w:noProof/>
            <w:sz w:val="24"/>
            <w:szCs w:val="24"/>
          </w:rPr>
          <w:t>1</w:t>
        </w:r>
        <w:r w:rsidR="007D0A1E" w:rsidRPr="00CB32D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05243"/>
    <w:rsid w:val="00005A37"/>
    <w:rsid w:val="00016E28"/>
    <w:rsid w:val="00046F59"/>
    <w:rsid w:val="000A5182"/>
    <w:rsid w:val="000B5E25"/>
    <w:rsid w:val="001C1BA2"/>
    <w:rsid w:val="00233513"/>
    <w:rsid w:val="002B77EE"/>
    <w:rsid w:val="002E03CC"/>
    <w:rsid w:val="002F6F0A"/>
    <w:rsid w:val="00300A94"/>
    <w:rsid w:val="00394D73"/>
    <w:rsid w:val="004139C7"/>
    <w:rsid w:val="00437B13"/>
    <w:rsid w:val="004F2CB2"/>
    <w:rsid w:val="00586F27"/>
    <w:rsid w:val="00605243"/>
    <w:rsid w:val="00685101"/>
    <w:rsid w:val="00756C8A"/>
    <w:rsid w:val="007C5443"/>
    <w:rsid w:val="007D0A1E"/>
    <w:rsid w:val="00921999"/>
    <w:rsid w:val="00921FCC"/>
    <w:rsid w:val="00960E53"/>
    <w:rsid w:val="00974E4D"/>
    <w:rsid w:val="00996F8E"/>
    <w:rsid w:val="009E05B0"/>
    <w:rsid w:val="00A759BB"/>
    <w:rsid w:val="00B455BC"/>
    <w:rsid w:val="00B6024E"/>
    <w:rsid w:val="00B632AE"/>
    <w:rsid w:val="00B74C2A"/>
    <w:rsid w:val="00BA5CC8"/>
    <w:rsid w:val="00BC410C"/>
    <w:rsid w:val="00C24127"/>
    <w:rsid w:val="00CB32D9"/>
    <w:rsid w:val="00CB5AAA"/>
    <w:rsid w:val="00D74CB1"/>
    <w:rsid w:val="00E0033D"/>
    <w:rsid w:val="00EA661C"/>
    <w:rsid w:val="00EC764A"/>
    <w:rsid w:val="00EF26E2"/>
    <w:rsid w:val="00F11186"/>
    <w:rsid w:val="00F1138C"/>
    <w:rsid w:val="00F909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9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2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32D9"/>
  </w:style>
  <w:style w:type="paragraph" w:styleId="Footer">
    <w:name w:val="footer"/>
    <w:basedOn w:val="Normal"/>
    <w:link w:val="FooterChar"/>
    <w:uiPriority w:val="99"/>
    <w:unhideWhenUsed/>
    <w:rsid w:val="00CB32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32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5524808">
      <w:bodyDiv w:val="1"/>
      <w:marLeft w:val="0"/>
      <w:marRight w:val="0"/>
      <w:marTop w:val="0"/>
      <w:marBottom w:val="0"/>
      <w:divBdr>
        <w:top w:val="none" w:sz="0" w:space="0" w:color="auto"/>
        <w:left w:val="none" w:sz="0" w:space="0" w:color="auto"/>
        <w:bottom w:val="none" w:sz="0" w:space="0" w:color="auto"/>
        <w:right w:val="none" w:sz="0" w:space="0" w:color="auto"/>
      </w:divBdr>
    </w:div>
    <w:div w:id="2106030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599</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2019-09-17T01:25:00Z</dcterms:created>
  <dcterms:modified xsi:type="dcterms:W3CDTF">2019-09-17T01:25:00Z</dcterms:modified>
</cp:coreProperties>
</file>